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8C" w:rsidRDefault="0074198C"/>
    <w:p w:rsidR="00E3326A" w:rsidRDefault="00E3326A"/>
    <w:p w:rsidR="00E3326A" w:rsidRDefault="00E3326A">
      <w:pPr>
        <w:rPr>
          <w:b/>
        </w:rPr>
      </w:pPr>
      <w:bookmarkStart w:id="0" w:name="_GoBack"/>
      <w:bookmarkEnd w:id="0"/>
    </w:p>
    <w:tbl>
      <w:tblPr>
        <w:tblStyle w:val="TableGrid"/>
        <w:tblW w:w="0" w:type="auto"/>
        <w:tblLook w:val="04A0" w:firstRow="1" w:lastRow="0" w:firstColumn="1" w:lastColumn="0" w:noHBand="0" w:noVBand="1"/>
      </w:tblPr>
      <w:tblGrid>
        <w:gridCol w:w="480"/>
        <w:gridCol w:w="1248"/>
        <w:gridCol w:w="3240"/>
        <w:gridCol w:w="4274"/>
      </w:tblGrid>
      <w:tr w:rsidR="00C717AB" w:rsidRPr="00C717AB" w:rsidTr="00AF0FE3">
        <w:trPr>
          <w:tblHeader/>
        </w:trPr>
        <w:tc>
          <w:tcPr>
            <w:tcW w:w="480" w:type="dxa"/>
          </w:tcPr>
          <w:p w:rsidR="00C717AB" w:rsidRPr="00C717AB" w:rsidRDefault="00C717AB">
            <w:pPr>
              <w:rPr>
                <w:b/>
              </w:rPr>
            </w:pPr>
            <w:r w:rsidRPr="00C717AB">
              <w:rPr>
                <w:b/>
              </w:rPr>
              <w:t>No</w:t>
            </w:r>
          </w:p>
        </w:tc>
        <w:tc>
          <w:tcPr>
            <w:tcW w:w="1248" w:type="dxa"/>
          </w:tcPr>
          <w:p w:rsidR="00C717AB" w:rsidRPr="00C717AB" w:rsidRDefault="00C717AB">
            <w:pPr>
              <w:rPr>
                <w:b/>
              </w:rPr>
            </w:pPr>
            <w:r w:rsidRPr="00C717AB">
              <w:rPr>
                <w:b/>
              </w:rPr>
              <w:t>Title</w:t>
            </w:r>
          </w:p>
        </w:tc>
        <w:tc>
          <w:tcPr>
            <w:tcW w:w="3240" w:type="dxa"/>
          </w:tcPr>
          <w:p w:rsidR="00C717AB" w:rsidRPr="00C717AB" w:rsidRDefault="00C717AB">
            <w:pPr>
              <w:rPr>
                <w:b/>
              </w:rPr>
            </w:pPr>
            <w:r w:rsidRPr="00C717AB">
              <w:rPr>
                <w:b/>
              </w:rPr>
              <w:t>Principle Definition</w:t>
            </w:r>
          </w:p>
        </w:tc>
        <w:tc>
          <w:tcPr>
            <w:tcW w:w="4274" w:type="dxa"/>
          </w:tcPr>
          <w:p w:rsidR="00C717AB" w:rsidRPr="00C717AB" w:rsidRDefault="00C717AB">
            <w:pPr>
              <w:rPr>
                <w:b/>
              </w:rPr>
            </w:pPr>
            <w:r w:rsidRPr="00C717AB">
              <w:rPr>
                <w:b/>
              </w:rPr>
              <w:t>Meaning of Principle</w:t>
            </w:r>
            <w:r w:rsidR="00686168">
              <w:rPr>
                <w:b/>
              </w:rPr>
              <w:t xml:space="preserve"> (you </w:t>
            </w:r>
            <w:proofErr w:type="gramStart"/>
            <w:r w:rsidR="00686168">
              <w:rPr>
                <w:b/>
              </w:rPr>
              <w:t>must:</w:t>
            </w:r>
            <w:proofErr w:type="gramEnd"/>
            <w:r w:rsidR="00686168">
              <w:rPr>
                <w:b/>
              </w:rPr>
              <w:t>-)</w:t>
            </w:r>
          </w:p>
        </w:tc>
      </w:tr>
      <w:tr w:rsidR="00C717AB" w:rsidTr="00686168">
        <w:tc>
          <w:tcPr>
            <w:tcW w:w="480" w:type="dxa"/>
          </w:tcPr>
          <w:p w:rsidR="00C717AB" w:rsidRPr="00E3326A" w:rsidRDefault="00C717AB">
            <w:r w:rsidRPr="00E3326A">
              <w:t>1</w:t>
            </w:r>
          </w:p>
        </w:tc>
        <w:tc>
          <w:tcPr>
            <w:tcW w:w="1248" w:type="dxa"/>
          </w:tcPr>
          <w:p w:rsidR="00C717AB" w:rsidRPr="00E3326A" w:rsidRDefault="00C717AB">
            <w:r w:rsidRPr="00E3326A">
              <w:t>Fair and lawful</w:t>
            </w:r>
          </w:p>
        </w:tc>
        <w:tc>
          <w:tcPr>
            <w:tcW w:w="3240" w:type="dxa"/>
          </w:tcPr>
          <w:p w:rsidR="00C717AB" w:rsidRPr="00E3326A" w:rsidRDefault="00C717AB">
            <w:r>
              <w:t>Personal data shall be processed fairly and lawfully</w:t>
            </w:r>
          </w:p>
        </w:tc>
        <w:tc>
          <w:tcPr>
            <w:tcW w:w="4274" w:type="dxa"/>
          </w:tcPr>
          <w:p w:rsidR="00C717AB" w:rsidRDefault="00686168" w:rsidP="00686168">
            <w:pPr>
              <w:pStyle w:val="ListParagraph"/>
              <w:numPr>
                <w:ilvl w:val="0"/>
                <w:numId w:val="1"/>
              </w:numPr>
              <w:ind w:left="342" w:hanging="342"/>
            </w:pPr>
            <w:r>
              <w:t>Have l</w:t>
            </w:r>
            <w:r w:rsidR="00C717AB">
              <w:t>egitimate grounds for collecting and using personal data</w:t>
            </w:r>
            <w:r>
              <w:t>;</w:t>
            </w:r>
          </w:p>
          <w:p w:rsidR="00C717AB" w:rsidRDefault="00686168" w:rsidP="00686168">
            <w:pPr>
              <w:pStyle w:val="ListParagraph"/>
              <w:numPr>
                <w:ilvl w:val="0"/>
                <w:numId w:val="1"/>
              </w:numPr>
              <w:ind w:left="342" w:hanging="342"/>
            </w:pPr>
            <w:r>
              <w:t>Not use the data in ways that have unjustified adverse effects on the individuals concerned;</w:t>
            </w:r>
          </w:p>
          <w:p w:rsidR="00686168" w:rsidRDefault="00686168" w:rsidP="00686168">
            <w:pPr>
              <w:pStyle w:val="ListParagraph"/>
              <w:numPr>
                <w:ilvl w:val="0"/>
                <w:numId w:val="1"/>
              </w:numPr>
              <w:ind w:left="342" w:hanging="342"/>
            </w:pPr>
            <w:r>
              <w:t>Be transparent about how you intend to use the data and give individuals appropriate privacy notices when collecting personal data;</w:t>
            </w:r>
          </w:p>
          <w:p w:rsidR="00686168" w:rsidRDefault="00686168" w:rsidP="00686168">
            <w:pPr>
              <w:pStyle w:val="ListParagraph"/>
              <w:numPr>
                <w:ilvl w:val="0"/>
                <w:numId w:val="1"/>
              </w:numPr>
              <w:ind w:left="342" w:hanging="342"/>
            </w:pPr>
            <w:r>
              <w:t>Handle people’s personal data only in ways they would reasonably expect;</w:t>
            </w:r>
          </w:p>
          <w:p w:rsidR="00686168" w:rsidRDefault="00686168" w:rsidP="00686168">
            <w:pPr>
              <w:pStyle w:val="ListParagraph"/>
              <w:numPr>
                <w:ilvl w:val="0"/>
                <w:numId w:val="1"/>
              </w:numPr>
              <w:ind w:left="342" w:hanging="342"/>
            </w:pPr>
            <w:r>
              <w:t>Make sure you do not do anything unlawful with the data.</w:t>
            </w:r>
          </w:p>
        </w:tc>
      </w:tr>
      <w:tr w:rsidR="00C717AB" w:rsidTr="00686168">
        <w:tc>
          <w:tcPr>
            <w:tcW w:w="480" w:type="dxa"/>
          </w:tcPr>
          <w:p w:rsidR="00C717AB" w:rsidRPr="00E3326A" w:rsidRDefault="00C717AB"/>
        </w:tc>
        <w:tc>
          <w:tcPr>
            <w:tcW w:w="1248" w:type="dxa"/>
          </w:tcPr>
          <w:p w:rsidR="00C717AB" w:rsidRPr="00E3326A" w:rsidRDefault="00C717AB"/>
        </w:tc>
        <w:tc>
          <w:tcPr>
            <w:tcW w:w="3240" w:type="dxa"/>
          </w:tcPr>
          <w:p w:rsidR="00C717AB" w:rsidRPr="00E3326A" w:rsidRDefault="00C717AB"/>
        </w:tc>
        <w:tc>
          <w:tcPr>
            <w:tcW w:w="4274" w:type="dxa"/>
          </w:tcPr>
          <w:p w:rsidR="00C717AB" w:rsidRPr="00E3326A" w:rsidRDefault="00C717AB"/>
        </w:tc>
      </w:tr>
      <w:tr w:rsidR="00C717AB" w:rsidTr="00686168">
        <w:tc>
          <w:tcPr>
            <w:tcW w:w="480" w:type="dxa"/>
          </w:tcPr>
          <w:p w:rsidR="00C717AB" w:rsidRPr="00E3326A" w:rsidRDefault="00C717AB">
            <w:r>
              <w:t>2</w:t>
            </w:r>
          </w:p>
        </w:tc>
        <w:tc>
          <w:tcPr>
            <w:tcW w:w="1248" w:type="dxa"/>
          </w:tcPr>
          <w:p w:rsidR="00C717AB" w:rsidRPr="00E3326A" w:rsidRDefault="00C717AB">
            <w:r>
              <w:t>Purposes</w:t>
            </w:r>
          </w:p>
        </w:tc>
        <w:tc>
          <w:tcPr>
            <w:tcW w:w="3240" w:type="dxa"/>
          </w:tcPr>
          <w:p w:rsidR="00C717AB" w:rsidRPr="00E3326A" w:rsidRDefault="00C717AB" w:rsidP="00C717AB">
            <w:r>
              <w:t>Personal data shall be obtained only for one or more specified and lawful purposes, and shall not be further processed in any manner incompatible with that purpose or those purposes.</w:t>
            </w:r>
          </w:p>
        </w:tc>
        <w:tc>
          <w:tcPr>
            <w:tcW w:w="4274" w:type="dxa"/>
          </w:tcPr>
          <w:p w:rsidR="00C717AB" w:rsidRDefault="00686168" w:rsidP="00686168">
            <w:pPr>
              <w:pStyle w:val="ListParagraph"/>
              <w:numPr>
                <w:ilvl w:val="0"/>
                <w:numId w:val="2"/>
              </w:numPr>
              <w:ind w:left="342" w:hanging="342"/>
            </w:pPr>
            <w:r>
              <w:t>Be clear from the outset about why you are collecting personal data and what you intend to do with it;</w:t>
            </w:r>
          </w:p>
          <w:p w:rsidR="00686168" w:rsidRDefault="00512501" w:rsidP="00686168">
            <w:pPr>
              <w:pStyle w:val="ListParagraph"/>
              <w:numPr>
                <w:ilvl w:val="0"/>
                <w:numId w:val="2"/>
              </w:numPr>
              <w:ind w:left="342" w:hanging="342"/>
            </w:pPr>
            <w:r>
              <w:t>Comply with the Act’s fair processing requirements including the duty to give privacy notices to individuals when collecting their personal data;</w:t>
            </w:r>
          </w:p>
          <w:p w:rsidR="00512501" w:rsidRDefault="00512501" w:rsidP="00686168">
            <w:pPr>
              <w:pStyle w:val="ListParagraph"/>
              <w:numPr>
                <w:ilvl w:val="0"/>
                <w:numId w:val="2"/>
              </w:numPr>
              <w:ind w:left="342" w:hanging="342"/>
            </w:pPr>
            <w:r>
              <w:t>Comply with what the Act says about notifying the Information Commissioner;</w:t>
            </w:r>
          </w:p>
          <w:p w:rsidR="00512501" w:rsidRDefault="00512501" w:rsidP="00686168">
            <w:pPr>
              <w:pStyle w:val="ListParagraph"/>
              <w:numPr>
                <w:ilvl w:val="0"/>
                <w:numId w:val="2"/>
              </w:numPr>
              <w:ind w:left="342" w:hanging="342"/>
            </w:pPr>
            <w:r>
              <w:t>Ensure that if you wish to use or disclose the data for any purpose that is additional to or different from the originally specified purpose the new use or disclosure is fair.</w:t>
            </w:r>
          </w:p>
        </w:tc>
      </w:tr>
      <w:tr w:rsidR="00C717AB" w:rsidTr="00686168">
        <w:tc>
          <w:tcPr>
            <w:tcW w:w="480" w:type="dxa"/>
          </w:tcPr>
          <w:p w:rsidR="00C717AB" w:rsidRPr="00E3326A" w:rsidRDefault="00C717AB"/>
        </w:tc>
        <w:tc>
          <w:tcPr>
            <w:tcW w:w="1248" w:type="dxa"/>
          </w:tcPr>
          <w:p w:rsidR="00C717AB" w:rsidRPr="00E3326A" w:rsidRDefault="00C717AB"/>
        </w:tc>
        <w:tc>
          <w:tcPr>
            <w:tcW w:w="3240" w:type="dxa"/>
          </w:tcPr>
          <w:p w:rsidR="00C717AB" w:rsidRPr="00E3326A" w:rsidRDefault="00C717AB"/>
        </w:tc>
        <w:tc>
          <w:tcPr>
            <w:tcW w:w="4274" w:type="dxa"/>
          </w:tcPr>
          <w:p w:rsidR="00C717AB" w:rsidRPr="00E3326A" w:rsidRDefault="00C717AB"/>
        </w:tc>
      </w:tr>
      <w:tr w:rsidR="00C717AB" w:rsidTr="00686168">
        <w:tc>
          <w:tcPr>
            <w:tcW w:w="480" w:type="dxa"/>
          </w:tcPr>
          <w:p w:rsidR="00C717AB" w:rsidRPr="00E3326A" w:rsidRDefault="00C717AB">
            <w:r>
              <w:t>3</w:t>
            </w:r>
          </w:p>
        </w:tc>
        <w:tc>
          <w:tcPr>
            <w:tcW w:w="1248" w:type="dxa"/>
          </w:tcPr>
          <w:p w:rsidR="00C717AB" w:rsidRPr="00E3326A" w:rsidRDefault="00C717AB">
            <w:r>
              <w:t>Adequacy</w:t>
            </w:r>
          </w:p>
        </w:tc>
        <w:tc>
          <w:tcPr>
            <w:tcW w:w="3240" w:type="dxa"/>
          </w:tcPr>
          <w:p w:rsidR="00C717AB" w:rsidRPr="00E3326A" w:rsidRDefault="00C717AB" w:rsidP="00C717AB">
            <w:r>
              <w:t xml:space="preserve">Personal data shall be adequate. </w:t>
            </w:r>
            <w:proofErr w:type="gramStart"/>
            <w:r>
              <w:t>relevant</w:t>
            </w:r>
            <w:proofErr w:type="gramEnd"/>
            <w:r>
              <w:t xml:space="preserve"> and not excessive in relation to the purpose or purposes for which they are processed.</w:t>
            </w:r>
          </w:p>
        </w:tc>
        <w:tc>
          <w:tcPr>
            <w:tcW w:w="4274" w:type="dxa"/>
          </w:tcPr>
          <w:p w:rsidR="00B25CA7" w:rsidRDefault="00512501" w:rsidP="00B25CA7">
            <w:pPr>
              <w:pStyle w:val="ListParagraph"/>
              <w:numPr>
                <w:ilvl w:val="0"/>
                <w:numId w:val="3"/>
              </w:numPr>
              <w:ind w:left="342" w:hanging="342"/>
            </w:pPr>
            <w:r>
              <w:t xml:space="preserve">Ensure that you hold personal data about an individual that is sufficient for the purpose you are holding it for </w:t>
            </w:r>
            <w:r w:rsidR="00B25CA7">
              <w:t>in relation to that individual;</w:t>
            </w:r>
          </w:p>
          <w:p w:rsidR="00B25CA7" w:rsidRDefault="00B25CA7" w:rsidP="00B25CA7">
            <w:pPr>
              <w:pStyle w:val="ListParagraph"/>
              <w:numPr>
                <w:ilvl w:val="0"/>
                <w:numId w:val="3"/>
              </w:numPr>
              <w:ind w:left="342" w:hanging="342"/>
            </w:pPr>
            <w:r>
              <w:t>You do not hold more information than you need for that purpose.</w:t>
            </w:r>
          </w:p>
        </w:tc>
      </w:tr>
      <w:tr w:rsidR="00C717AB" w:rsidTr="00686168">
        <w:tc>
          <w:tcPr>
            <w:tcW w:w="480" w:type="dxa"/>
          </w:tcPr>
          <w:p w:rsidR="00C717AB" w:rsidRPr="00E3326A" w:rsidRDefault="00C717AB"/>
        </w:tc>
        <w:tc>
          <w:tcPr>
            <w:tcW w:w="1248" w:type="dxa"/>
          </w:tcPr>
          <w:p w:rsidR="00C717AB" w:rsidRPr="00E3326A" w:rsidRDefault="00C717AB"/>
        </w:tc>
        <w:tc>
          <w:tcPr>
            <w:tcW w:w="3240" w:type="dxa"/>
          </w:tcPr>
          <w:p w:rsidR="00C717AB" w:rsidRPr="00E3326A" w:rsidRDefault="00C717AB"/>
        </w:tc>
        <w:tc>
          <w:tcPr>
            <w:tcW w:w="4274" w:type="dxa"/>
          </w:tcPr>
          <w:p w:rsidR="00C717AB" w:rsidRPr="00E3326A" w:rsidRDefault="00C717AB"/>
        </w:tc>
      </w:tr>
      <w:tr w:rsidR="00C717AB" w:rsidTr="00686168">
        <w:tc>
          <w:tcPr>
            <w:tcW w:w="480" w:type="dxa"/>
          </w:tcPr>
          <w:p w:rsidR="00C717AB" w:rsidRPr="00E3326A" w:rsidRDefault="00C717AB">
            <w:r>
              <w:t>4</w:t>
            </w:r>
          </w:p>
        </w:tc>
        <w:tc>
          <w:tcPr>
            <w:tcW w:w="1248" w:type="dxa"/>
          </w:tcPr>
          <w:p w:rsidR="00C717AB" w:rsidRPr="00E3326A" w:rsidRDefault="00B25CA7">
            <w:r>
              <w:t>Accuracy</w:t>
            </w:r>
          </w:p>
        </w:tc>
        <w:tc>
          <w:tcPr>
            <w:tcW w:w="3240" w:type="dxa"/>
          </w:tcPr>
          <w:p w:rsidR="00C717AB" w:rsidRPr="00E3326A" w:rsidRDefault="00B25CA7">
            <w:r>
              <w:t>Personal data shall be accurate and, where necessary, kept up to date.</w:t>
            </w:r>
          </w:p>
        </w:tc>
        <w:tc>
          <w:tcPr>
            <w:tcW w:w="4274" w:type="dxa"/>
          </w:tcPr>
          <w:p w:rsidR="00C717AB" w:rsidRDefault="00B25CA7" w:rsidP="00B25CA7">
            <w:pPr>
              <w:pStyle w:val="ListParagraph"/>
              <w:numPr>
                <w:ilvl w:val="0"/>
                <w:numId w:val="4"/>
              </w:numPr>
              <w:ind w:left="342"/>
            </w:pPr>
            <w:r>
              <w:t>Take reasonable steps to ensure the accuracy of any personal data you obtain;</w:t>
            </w:r>
          </w:p>
          <w:p w:rsidR="00B25CA7" w:rsidRDefault="00B25CA7" w:rsidP="00B25CA7">
            <w:pPr>
              <w:pStyle w:val="ListParagraph"/>
              <w:numPr>
                <w:ilvl w:val="0"/>
                <w:numId w:val="4"/>
              </w:numPr>
              <w:ind w:left="342"/>
            </w:pPr>
            <w:r>
              <w:t>Ensure that the source of any personal data is clear;</w:t>
            </w:r>
          </w:p>
          <w:p w:rsidR="00B25CA7" w:rsidRDefault="00B25CA7" w:rsidP="00B25CA7">
            <w:pPr>
              <w:pStyle w:val="ListParagraph"/>
              <w:numPr>
                <w:ilvl w:val="0"/>
                <w:numId w:val="4"/>
              </w:numPr>
              <w:ind w:left="342"/>
            </w:pPr>
            <w:r>
              <w:t>Carefully consider any challenges to the accuracy of information; and</w:t>
            </w:r>
          </w:p>
          <w:p w:rsidR="00B25CA7" w:rsidRPr="00E3326A" w:rsidRDefault="00B25CA7" w:rsidP="00B25CA7">
            <w:pPr>
              <w:pStyle w:val="ListParagraph"/>
              <w:numPr>
                <w:ilvl w:val="0"/>
                <w:numId w:val="4"/>
              </w:numPr>
              <w:ind w:left="342"/>
            </w:pPr>
            <w:r>
              <w:t xml:space="preserve">Consider </w:t>
            </w:r>
            <w:r w:rsidR="00AF0FE3">
              <w:t>whether it is necessary to update the information.</w:t>
            </w:r>
          </w:p>
        </w:tc>
      </w:tr>
    </w:tbl>
    <w:p w:rsidR="004642E7" w:rsidRDefault="004642E7"/>
    <w:p w:rsidR="004642E7" w:rsidRDefault="004642E7"/>
    <w:p w:rsidR="004642E7" w:rsidRDefault="004642E7"/>
    <w:p w:rsidR="004642E7" w:rsidRDefault="004642E7"/>
    <w:tbl>
      <w:tblPr>
        <w:tblStyle w:val="TableGrid"/>
        <w:tblW w:w="0" w:type="auto"/>
        <w:tblLook w:val="04A0" w:firstRow="1" w:lastRow="0" w:firstColumn="1" w:lastColumn="0" w:noHBand="0" w:noVBand="1"/>
      </w:tblPr>
      <w:tblGrid>
        <w:gridCol w:w="476"/>
        <w:gridCol w:w="1380"/>
        <w:gridCol w:w="3189"/>
        <w:gridCol w:w="4197"/>
      </w:tblGrid>
      <w:tr w:rsidR="00AF0FE3" w:rsidTr="00686168">
        <w:tc>
          <w:tcPr>
            <w:tcW w:w="480" w:type="dxa"/>
          </w:tcPr>
          <w:p w:rsidR="00AF0FE3" w:rsidRDefault="00AF0FE3">
            <w:r>
              <w:t>5</w:t>
            </w:r>
          </w:p>
        </w:tc>
        <w:tc>
          <w:tcPr>
            <w:tcW w:w="1248" w:type="dxa"/>
          </w:tcPr>
          <w:p w:rsidR="00AF0FE3" w:rsidRDefault="00AF0FE3">
            <w:r>
              <w:t>Retention</w:t>
            </w:r>
          </w:p>
        </w:tc>
        <w:tc>
          <w:tcPr>
            <w:tcW w:w="3240" w:type="dxa"/>
          </w:tcPr>
          <w:p w:rsidR="00AF0FE3" w:rsidRDefault="00AF0FE3">
            <w:r>
              <w:t>Personal data processed for any purpose or purposes shall not be kept for longer than is necessary for that purpose or those purposes.</w:t>
            </w:r>
          </w:p>
        </w:tc>
        <w:tc>
          <w:tcPr>
            <w:tcW w:w="4274" w:type="dxa"/>
          </w:tcPr>
          <w:p w:rsidR="00AF0FE3" w:rsidRDefault="00AF0FE3" w:rsidP="00AF0FE3">
            <w:r>
              <w:t>Will need to:-</w:t>
            </w:r>
          </w:p>
          <w:p w:rsidR="00AF0FE3" w:rsidRDefault="00AF0FE3" w:rsidP="00AF0FE3"/>
          <w:p w:rsidR="00AF0FE3" w:rsidRDefault="00AF0FE3" w:rsidP="00AF0FE3">
            <w:pPr>
              <w:pStyle w:val="ListParagraph"/>
              <w:numPr>
                <w:ilvl w:val="0"/>
                <w:numId w:val="5"/>
              </w:numPr>
              <w:ind w:left="432"/>
            </w:pPr>
            <w:r>
              <w:t>Review the length of time you keep personal data;</w:t>
            </w:r>
          </w:p>
          <w:p w:rsidR="00AF0FE3" w:rsidRDefault="00AF0FE3" w:rsidP="00AF0FE3">
            <w:pPr>
              <w:pStyle w:val="ListParagraph"/>
              <w:numPr>
                <w:ilvl w:val="0"/>
                <w:numId w:val="5"/>
              </w:numPr>
              <w:ind w:left="432"/>
            </w:pPr>
            <w:r>
              <w:t xml:space="preserve">Consider the purpose or purposes you hold the information for in deciding whether (and for how long) to retain it; </w:t>
            </w:r>
          </w:p>
          <w:p w:rsidR="00AF0FE3" w:rsidRDefault="00AF0FE3" w:rsidP="00AF0FE3">
            <w:pPr>
              <w:pStyle w:val="ListParagraph"/>
              <w:numPr>
                <w:ilvl w:val="0"/>
                <w:numId w:val="5"/>
              </w:numPr>
              <w:ind w:left="432"/>
            </w:pPr>
            <w:r>
              <w:t>Securely delete information that is no longer needed for this purpose or these purposes; and</w:t>
            </w:r>
          </w:p>
          <w:p w:rsidR="00AF0FE3" w:rsidRDefault="00AF0FE3" w:rsidP="00AF0FE3">
            <w:pPr>
              <w:pStyle w:val="ListParagraph"/>
              <w:numPr>
                <w:ilvl w:val="0"/>
                <w:numId w:val="5"/>
              </w:numPr>
              <w:ind w:left="432"/>
            </w:pPr>
            <w:r>
              <w:t>Update, archive or securely delete information if it goes out of date.</w:t>
            </w:r>
          </w:p>
        </w:tc>
      </w:tr>
      <w:tr w:rsidR="004642E7" w:rsidTr="00686168">
        <w:tc>
          <w:tcPr>
            <w:tcW w:w="480" w:type="dxa"/>
          </w:tcPr>
          <w:p w:rsidR="004642E7" w:rsidRDefault="004642E7"/>
        </w:tc>
        <w:tc>
          <w:tcPr>
            <w:tcW w:w="1248" w:type="dxa"/>
          </w:tcPr>
          <w:p w:rsidR="004642E7" w:rsidRDefault="004642E7"/>
        </w:tc>
        <w:tc>
          <w:tcPr>
            <w:tcW w:w="3240" w:type="dxa"/>
          </w:tcPr>
          <w:p w:rsidR="004642E7" w:rsidRDefault="004642E7"/>
        </w:tc>
        <w:tc>
          <w:tcPr>
            <w:tcW w:w="4274" w:type="dxa"/>
          </w:tcPr>
          <w:p w:rsidR="004642E7" w:rsidRDefault="004642E7" w:rsidP="00AF0FE3">
            <w:pPr>
              <w:pStyle w:val="ListParagraph"/>
              <w:numPr>
                <w:ilvl w:val="0"/>
                <w:numId w:val="6"/>
              </w:numPr>
              <w:ind w:left="432"/>
            </w:pPr>
          </w:p>
        </w:tc>
      </w:tr>
      <w:tr w:rsidR="00AF0FE3" w:rsidTr="00686168">
        <w:tc>
          <w:tcPr>
            <w:tcW w:w="480" w:type="dxa"/>
          </w:tcPr>
          <w:p w:rsidR="00AF0FE3" w:rsidRDefault="00AF0FE3">
            <w:r>
              <w:t>6</w:t>
            </w:r>
          </w:p>
        </w:tc>
        <w:tc>
          <w:tcPr>
            <w:tcW w:w="1248" w:type="dxa"/>
          </w:tcPr>
          <w:p w:rsidR="00AF0FE3" w:rsidRDefault="00AF0FE3">
            <w:r>
              <w:t>Rights</w:t>
            </w:r>
          </w:p>
        </w:tc>
        <w:tc>
          <w:tcPr>
            <w:tcW w:w="3240" w:type="dxa"/>
          </w:tcPr>
          <w:p w:rsidR="00AF0FE3" w:rsidRDefault="00AF0FE3">
            <w:r>
              <w:t>Personal data shall be processed in accordance with the rights of data subjects under this Act</w:t>
            </w:r>
          </w:p>
        </w:tc>
        <w:tc>
          <w:tcPr>
            <w:tcW w:w="4274" w:type="dxa"/>
          </w:tcPr>
          <w:p w:rsidR="00AF0FE3" w:rsidRDefault="00AF0FE3" w:rsidP="00AF0FE3">
            <w:pPr>
              <w:pStyle w:val="ListParagraph"/>
              <w:numPr>
                <w:ilvl w:val="0"/>
                <w:numId w:val="6"/>
              </w:numPr>
              <w:ind w:left="432"/>
            </w:pPr>
            <w:r>
              <w:t>Right of access to a copy of the information comprised in their personal data;</w:t>
            </w:r>
          </w:p>
          <w:p w:rsidR="00AF0FE3" w:rsidRDefault="00AF0FE3" w:rsidP="00AF0FE3">
            <w:pPr>
              <w:pStyle w:val="ListParagraph"/>
              <w:numPr>
                <w:ilvl w:val="0"/>
                <w:numId w:val="6"/>
              </w:numPr>
              <w:ind w:left="432"/>
            </w:pPr>
            <w:r>
              <w:t>A right to object to processing that is likely to cause</w:t>
            </w:r>
            <w:r w:rsidR="00383434">
              <w:t>,</w:t>
            </w:r>
            <w:r>
              <w:t xml:space="preserve"> or is causing</w:t>
            </w:r>
            <w:r w:rsidR="00383434">
              <w:t>,</w:t>
            </w:r>
            <w:r>
              <w:t xml:space="preserve"> </w:t>
            </w:r>
            <w:r w:rsidR="00383434">
              <w:t xml:space="preserve">damage or </w:t>
            </w:r>
            <w:r>
              <w:t>distress</w:t>
            </w:r>
            <w:r w:rsidR="00383434">
              <w:t>;</w:t>
            </w:r>
          </w:p>
          <w:p w:rsidR="00383434" w:rsidRDefault="00383434" w:rsidP="00AF0FE3">
            <w:pPr>
              <w:pStyle w:val="ListParagraph"/>
              <w:numPr>
                <w:ilvl w:val="0"/>
                <w:numId w:val="6"/>
              </w:numPr>
              <w:ind w:left="432"/>
            </w:pPr>
            <w:r>
              <w:t>A right to prevent processing for direct marketing;</w:t>
            </w:r>
          </w:p>
          <w:p w:rsidR="00383434" w:rsidRDefault="00383434" w:rsidP="00AF0FE3">
            <w:pPr>
              <w:pStyle w:val="ListParagraph"/>
              <w:numPr>
                <w:ilvl w:val="0"/>
                <w:numId w:val="6"/>
              </w:numPr>
              <w:ind w:left="432"/>
            </w:pPr>
            <w:r>
              <w:t>A right to object to decisions being taken by automated means</w:t>
            </w:r>
          </w:p>
          <w:p w:rsidR="00AC5610" w:rsidRDefault="00383434" w:rsidP="00AC5610">
            <w:pPr>
              <w:pStyle w:val="ListParagraph"/>
              <w:numPr>
                <w:ilvl w:val="0"/>
                <w:numId w:val="6"/>
              </w:numPr>
              <w:ind w:left="432"/>
            </w:pPr>
            <w:r>
              <w:t>A right</w:t>
            </w:r>
            <w:r w:rsidR="00AC5610">
              <w:t>, in certain circumstances, to have inaccurate personal data rectified, blocked, erased or destroyed; and</w:t>
            </w:r>
          </w:p>
          <w:p w:rsidR="00AC5610" w:rsidRDefault="00AC5610" w:rsidP="00AC5610">
            <w:pPr>
              <w:pStyle w:val="ListParagraph"/>
              <w:numPr>
                <w:ilvl w:val="0"/>
                <w:numId w:val="6"/>
              </w:numPr>
              <w:ind w:left="432"/>
            </w:pPr>
            <w:r>
              <w:t>A right to claim compensation for damages caused by a breach of the Act.</w:t>
            </w:r>
          </w:p>
        </w:tc>
      </w:tr>
      <w:tr w:rsidR="004642E7" w:rsidTr="00686168">
        <w:tc>
          <w:tcPr>
            <w:tcW w:w="480" w:type="dxa"/>
          </w:tcPr>
          <w:p w:rsidR="004642E7" w:rsidRDefault="004642E7"/>
        </w:tc>
        <w:tc>
          <w:tcPr>
            <w:tcW w:w="1248" w:type="dxa"/>
          </w:tcPr>
          <w:p w:rsidR="004642E7" w:rsidRDefault="004642E7"/>
        </w:tc>
        <w:tc>
          <w:tcPr>
            <w:tcW w:w="3240" w:type="dxa"/>
          </w:tcPr>
          <w:p w:rsidR="004642E7" w:rsidRDefault="004642E7"/>
        </w:tc>
        <w:tc>
          <w:tcPr>
            <w:tcW w:w="4274" w:type="dxa"/>
          </w:tcPr>
          <w:p w:rsidR="004642E7" w:rsidRDefault="004642E7" w:rsidP="002E721E"/>
        </w:tc>
      </w:tr>
      <w:tr w:rsidR="00AC5610" w:rsidTr="00686168">
        <w:tc>
          <w:tcPr>
            <w:tcW w:w="480" w:type="dxa"/>
          </w:tcPr>
          <w:p w:rsidR="00AC5610" w:rsidRDefault="002E721E">
            <w:r>
              <w:t>7</w:t>
            </w:r>
          </w:p>
        </w:tc>
        <w:tc>
          <w:tcPr>
            <w:tcW w:w="1248" w:type="dxa"/>
          </w:tcPr>
          <w:p w:rsidR="00AC5610" w:rsidRDefault="002E721E">
            <w:r>
              <w:t>Security</w:t>
            </w:r>
          </w:p>
        </w:tc>
        <w:tc>
          <w:tcPr>
            <w:tcW w:w="3240" w:type="dxa"/>
          </w:tcPr>
          <w:p w:rsidR="00AC5610" w:rsidRDefault="002E721E">
            <w:r>
              <w:t>Appropriate technical and organisational measures shall be taken against unauthorised or unlawful processing of personal data and against accidental loss or destruction of, or loss or damage to, personal data</w:t>
            </w:r>
          </w:p>
        </w:tc>
        <w:tc>
          <w:tcPr>
            <w:tcW w:w="4274" w:type="dxa"/>
          </w:tcPr>
          <w:p w:rsidR="00AC5610" w:rsidRDefault="002E721E" w:rsidP="002E721E">
            <w:r>
              <w:t>Need to:-</w:t>
            </w:r>
          </w:p>
          <w:p w:rsidR="002E721E" w:rsidRDefault="002E721E" w:rsidP="002E721E">
            <w:pPr>
              <w:pStyle w:val="ListParagraph"/>
              <w:numPr>
                <w:ilvl w:val="0"/>
                <w:numId w:val="7"/>
              </w:numPr>
              <w:ind w:left="342" w:hanging="270"/>
            </w:pPr>
            <w:r>
              <w:t>Design and organise your security to fit the nature of the personal data you hold and the harm that may result from a security breach;</w:t>
            </w:r>
          </w:p>
          <w:p w:rsidR="002E721E" w:rsidRDefault="002E721E" w:rsidP="002E721E">
            <w:pPr>
              <w:pStyle w:val="ListParagraph"/>
              <w:numPr>
                <w:ilvl w:val="0"/>
                <w:numId w:val="7"/>
              </w:numPr>
              <w:ind w:left="342" w:hanging="270"/>
            </w:pPr>
            <w:r>
              <w:t>Be clear about who in your organisation is responsible for ensuring information security;</w:t>
            </w:r>
          </w:p>
          <w:p w:rsidR="002E721E" w:rsidRDefault="002E721E" w:rsidP="002E721E">
            <w:pPr>
              <w:pStyle w:val="ListParagraph"/>
              <w:numPr>
                <w:ilvl w:val="0"/>
                <w:numId w:val="7"/>
              </w:numPr>
              <w:ind w:left="342" w:hanging="270"/>
            </w:pPr>
            <w:r>
              <w:t xml:space="preserve">Make sure you have the right physical and technical security, backed up by robust policies and procedures and reliable and well-trained staff; and </w:t>
            </w:r>
          </w:p>
          <w:p w:rsidR="003C4B1B" w:rsidRDefault="003C4B1B" w:rsidP="002E721E">
            <w:pPr>
              <w:pStyle w:val="ListParagraph"/>
              <w:numPr>
                <w:ilvl w:val="0"/>
                <w:numId w:val="7"/>
              </w:numPr>
              <w:ind w:left="342" w:hanging="270"/>
            </w:pPr>
            <w:r>
              <w:t>Be ready to respond to any breach of security swiftly and effectively</w:t>
            </w:r>
          </w:p>
        </w:tc>
      </w:tr>
      <w:tr w:rsidR="00921681" w:rsidTr="00686168">
        <w:tc>
          <w:tcPr>
            <w:tcW w:w="480" w:type="dxa"/>
          </w:tcPr>
          <w:p w:rsidR="00921681" w:rsidRDefault="0032056B">
            <w:r>
              <w:t>8</w:t>
            </w:r>
          </w:p>
        </w:tc>
        <w:tc>
          <w:tcPr>
            <w:tcW w:w="1248" w:type="dxa"/>
          </w:tcPr>
          <w:p w:rsidR="00921681" w:rsidRDefault="0032056B">
            <w:r>
              <w:t>International</w:t>
            </w:r>
          </w:p>
        </w:tc>
        <w:tc>
          <w:tcPr>
            <w:tcW w:w="3240" w:type="dxa"/>
          </w:tcPr>
          <w:p w:rsidR="00921681" w:rsidRDefault="0032056B">
            <w:r>
              <w:t xml:space="preserve">Personal data shall not be transferred to a country </w:t>
            </w:r>
            <w:r w:rsidR="00213B84">
              <w:t xml:space="preserve">or territory outside the EEA unless that country or territory ensures </w:t>
            </w:r>
            <w:r w:rsidR="00213B84">
              <w:lastRenderedPageBreak/>
              <w:t>an adequate level of protection for the rights and freedoms of data subjects in relation to the processing of personal data.</w:t>
            </w:r>
          </w:p>
        </w:tc>
        <w:tc>
          <w:tcPr>
            <w:tcW w:w="4274" w:type="dxa"/>
          </w:tcPr>
          <w:p w:rsidR="00921681" w:rsidRPr="00411F2C" w:rsidRDefault="00213B84" w:rsidP="00213B84">
            <w:pPr>
              <w:pStyle w:val="ListParagraph"/>
              <w:numPr>
                <w:ilvl w:val="0"/>
                <w:numId w:val="8"/>
              </w:numPr>
              <w:ind w:left="355" w:hanging="270"/>
              <w:rPr>
                <w:rFonts w:asciiTheme="minorHAnsi" w:hAnsiTheme="minorHAnsi"/>
                <w:szCs w:val="22"/>
              </w:rPr>
            </w:pPr>
            <w:r w:rsidRPr="00411F2C">
              <w:rPr>
                <w:rFonts w:asciiTheme="minorHAnsi" w:hAnsiTheme="minorHAnsi"/>
                <w:szCs w:val="22"/>
              </w:rPr>
              <w:lastRenderedPageBreak/>
              <w:t>Consider whether the personal data needs to be transferred or can it be anonymised</w:t>
            </w:r>
          </w:p>
          <w:p w:rsidR="00213B84" w:rsidRPr="00411F2C" w:rsidRDefault="00213B84" w:rsidP="00411F2C">
            <w:pPr>
              <w:pStyle w:val="ListParagraph"/>
              <w:numPr>
                <w:ilvl w:val="0"/>
                <w:numId w:val="8"/>
              </w:numPr>
              <w:ind w:left="355" w:hanging="270"/>
              <w:rPr>
                <w:rFonts w:asciiTheme="minorHAnsi" w:hAnsiTheme="minorHAnsi"/>
                <w:szCs w:val="22"/>
              </w:rPr>
            </w:pPr>
            <w:r w:rsidRPr="00411F2C">
              <w:rPr>
                <w:rFonts w:asciiTheme="minorHAnsi" w:hAnsiTheme="minorHAnsi"/>
                <w:szCs w:val="22"/>
              </w:rPr>
              <w:lastRenderedPageBreak/>
              <w:t xml:space="preserve">If data is only in transit through a non </w:t>
            </w:r>
            <w:r w:rsidR="00411F2C" w:rsidRPr="00411F2C">
              <w:rPr>
                <w:rFonts w:asciiTheme="minorHAnsi" w:hAnsiTheme="minorHAnsi"/>
                <w:szCs w:val="22"/>
              </w:rPr>
              <w:t>EEA</w:t>
            </w:r>
            <w:r w:rsidRPr="00411F2C">
              <w:rPr>
                <w:rFonts w:asciiTheme="minorHAnsi" w:hAnsiTheme="minorHAnsi"/>
                <w:szCs w:val="22"/>
              </w:rPr>
              <w:t xml:space="preserve"> country there is no transfer outside the </w:t>
            </w:r>
            <w:r w:rsidR="00411F2C" w:rsidRPr="00411F2C">
              <w:rPr>
                <w:rFonts w:asciiTheme="minorHAnsi" w:hAnsiTheme="minorHAnsi"/>
                <w:szCs w:val="22"/>
              </w:rPr>
              <w:t>EEA.  If personal data is added to a website based in the EU that is accessed in a country outside the EEA there will be a transfer of data outside the EEA.</w:t>
            </w:r>
          </w:p>
          <w:p w:rsidR="00411F2C" w:rsidRPr="00411F2C" w:rsidRDefault="00411F2C" w:rsidP="00411F2C">
            <w:pPr>
              <w:pStyle w:val="ListParagraph"/>
              <w:numPr>
                <w:ilvl w:val="0"/>
                <w:numId w:val="8"/>
              </w:numPr>
              <w:ind w:left="355" w:hanging="270"/>
              <w:rPr>
                <w:rFonts w:asciiTheme="minorHAnsi" w:hAnsiTheme="minorHAnsi"/>
                <w:szCs w:val="22"/>
              </w:rPr>
            </w:pPr>
            <w:r w:rsidRPr="00411F2C">
              <w:rPr>
                <w:rFonts w:asciiTheme="minorHAnsi" w:hAnsiTheme="minorHAnsi"/>
                <w:szCs w:val="22"/>
              </w:rPr>
              <w:t>If transferring data outside the EEA you will need to comply with all the principles and the Act as a whole.</w:t>
            </w:r>
          </w:p>
          <w:p w:rsidR="00411F2C" w:rsidRPr="00411F2C" w:rsidRDefault="00411F2C" w:rsidP="00411F2C">
            <w:pPr>
              <w:pStyle w:val="ListParagraph"/>
              <w:numPr>
                <w:ilvl w:val="0"/>
                <w:numId w:val="8"/>
              </w:numPr>
              <w:ind w:left="355" w:hanging="270"/>
              <w:rPr>
                <w:rFonts w:asciiTheme="minorHAnsi" w:hAnsiTheme="minorHAnsi"/>
                <w:szCs w:val="22"/>
              </w:rPr>
            </w:pPr>
            <w:r w:rsidRPr="00411F2C">
              <w:rPr>
                <w:rFonts w:asciiTheme="minorHAnsi" w:hAnsiTheme="minorHAnsi"/>
                <w:szCs w:val="22"/>
              </w:rPr>
              <w:t>There are no restrictions to the transfer of personal data to EEA countries.</w:t>
            </w:r>
          </w:p>
          <w:p w:rsidR="00411F2C" w:rsidRPr="00411F2C" w:rsidRDefault="00411F2C" w:rsidP="00411F2C">
            <w:pPr>
              <w:pStyle w:val="ListParagraph"/>
              <w:numPr>
                <w:ilvl w:val="0"/>
                <w:numId w:val="8"/>
              </w:numPr>
              <w:ind w:left="355" w:hanging="270"/>
              <w:rPr>
                <w:rFonts w:asciiTheme="minorHAnsi" w:hAnsiTheme="minorHAnsi"/>
                <w:szCs w:val="22"/>
              </w:rPr>
            </w:pPr>
            <w:r w:rsidRPr="00411F2C">
              <w:rPr>
                <w:rFonts w:asciiTheme="minorHAnsi" w:hAnsiTheme="minorHAnsi"/>
                <w:color w:val="000000"/>
                <w:szCs w:val="22"/>
                <w:shd w:val="clear" w:color="auto" w:fill="FFFFFF"/>
              </w:rPr>
              <w:t>Transfers may be made to any country or territory in respect of which the Commission has made a ‘positive finding of adequacy’.</w:t>
            </w:r>
          </w:p>
          <w:p w:rsidR="00411F2C" w:rsidRPr="00411F2C" w:rsidRDefault="00411F2C" w:rsidP="00411F2C">
            <w:pPr>
              <w:pStyle w:val="ListParagraph"/>
              <w:numPr>
                <w:ilvl w:val="0"/>
                <w:numId w:val="8"/>
              </w:numPr>
              <w:ind w:left="355" w:hanging="270"/>
              <w:rPr>
                <w:rFonts w:asciiTheme="minorHAnsi" w:hAnsiTheme="minorHAnsi"/>
                <w:szCs w:val="22"/>
              </w:rPr>
            </w:pPr>
            <w:r>
              <w:rPr>
                <w:rFonts w:asciiTheme="minorHAnsi" w:hAnsiTheme="minorHAnsi"/>
                <w:color w:val="000000"/>
                <w:szCs w:val="22"/>
                <w:shd w:val="clear" w:color="auto" w:fill="FFFFFF"/>
              </w:rPr>
              <w:t>Follow ICO guidance on the Privacy Shield for transferring data to the USA</w:t>
            </w:r>
          </w:p>
          <w:p w:rsidR="00411F2C" w:rsidRPr="00411F2C" w:rsidRDefault="00411F2C" w:rsidP="00411F2C">
            <w:pPr>
              <w:ind w:left="85"/>
              <w:rPr>
                <w:rFonts w:asciiTheme="minorHAnsi" w:hAnsiTheme="minorHAnsi"/>
                <w:szCs w:val="22"/>
              </w:rPr>
            </w:pPr>
          </w:p>
        </w:tc>
      </w:tr>
    </w:tbl>
    <w:p w:rsidR="00E3326A" w:rsidRDefault="00E3326A">
      <w:pPr>
        <w:rPr>
          <w:b/>
        </w:rPr>
      </w:pPr>
    </w:p>
    <w:p w:rsidR="00C717AB" w:rsidRDefault="00C717AB">
      <w:pPr>
        <w:spacing w:after="200" w:line="276" w:lineRule="auto"/>
        <w:rPr>
          <w:b/>
        </w:rPr>
      </w:pPr>
    </w:p>
    <w:sectPr w:rsidR="00C717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6A" w:rsidRDefault="00E3326A" w:rsidP="00E3326A">
      <w:r>
        <w:separator/>
      </w:r>
    </w:p>
  </w:endnote>
  <w:endnote w:type="continuationSeparator" w:id="0">
    <w:p w:rsidR="00E3326A" w:rsidRDefault="00E3326A" w:rsidP="00E3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6A" w:rsidRDefault="00E3326A" w:rsidP="00E3326A">
      <w:r>
        <w:separator/>
      </w:r>
    </w:p>
  </w:footnote>
  <w:footnote w:type="continuationSeparator" w:id="0">
    <w:p w:rsidR="00E3326A" w:rsidRDefault="00E3326A" w:rsidP="00E3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6A" w:rsidRDefault="003C4B1B" w:rsidP="00E3326A">
    <w:pPr>
      <w:pStyle w:val="Header"/>
      <w:jc w:val="right"/>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-276225</wp:posOffset>
              </wp:positionH>
              <wp:positionV relativeFrom="paragraph">
                <wp:posOffset>-192405</wp:posOffset>
              </wp:positionV>
              <wp:extent cx="390525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noFill/>
                        <a:miter lim="800000"/>
                        <a:headEnd/>
                        <a:tailEnd/>
                      </a:ln>
                    </wps:spPr>
                    <wps:txbx>
                      <w:txbxContent>
                        <w:p w:rsidR="003C4B1B" w:rsidRPr="003C4B1B" w:rsidRDefault="003C4B1B">
                          <w:pPr>
                            <w:rPr>
                              <w:sz w:val="36"/>
                            </w:rPr>
                          </w:pPr>
                          <w:r w:rsidRPr="003C4B1B">
                            <w:rPr>
                              <w:sz w:val="36"/>
                            </w:rPr>
                            <w:t>Handout 1</w:t>
                          </w:r>
                          <w:r w:rsidR="004642E7">
                            <w:rPr>
                              <w:sz w:val="36"/>
                            </w:rPr>
                            <w:t>.1</w:t>
                          </w:r>
                          <w:r w:rsidR="002001EE">
                            <w:rPr>
                              <w:sz w:val="36"/>
                            </w:rPr>
                            <w:t xml:space="preserve"> – the eight principles of data protection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5.15pt;width:3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8QIQ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l/l8MieXIN94lk+Xi3l6A4rndOt8+CCxY/FQckfNT/Bw&#10;ePAh0oHiOSS+5lGrequ0TobbVRvt2AFoULZpndF/C9OG9SVfEpOEbDDmpxnqVKBB1qor+SKPK6ZD&#10;EeV4b+p0DqD06UxMtDnrEyU5iROGaqDAKFqF9ZGUcngaWPpgdGjR/eSsp2Etuf+xByc50x8Nqb0c&#10;z2ZxupMxm99MyHDXnuraA0YQVMkDZ6fjJqQfkXSwd9SVrUp6vTA5c6UhTDKeP0yc8ms7Rb186/Uv&#10;AAAA//8DAFBLAwQUAAYACAAAACEAUpWT7d8AAAALAQAADwAAAGRycy9kb3ducmV2LnhtbEyPy07D&#10;MBBF90j8gzVI7Fq7hEAJcaqKig0LpBYkWLrxJI7wI7LdNPw9wwp28zi6c6bezM6yCWMagpewWgpg&#10;6NugB99LeH97XqyBpay8VjZ4lPCNCTbN5UWtKh3Ofo/TIfeMQnyqlAST81hxnlqDTqVlGNHTrgvR&#10;qUxt7LmO6kzhzvIbIe64U4OnC0aN+GSw/TqcnIQPZwa9i6+fnbbT7qXbluMcRymvr+btI7CMc/6D&#10;4Vef1KEhp2M4eZ2YlbC4LUpCqShEAYyI8n5FkyOhD2INvKn5/x+aHwAAAP//AwBQSwECLQAUAAYA&#10;CAAAACEAtoM4kv4AAADhAQAAEwAAAAAAAAAAAAAAAAAAAAAAW0NvbnRlbnRfVHlwZXNdLnhtbFBL&#10;AQItABQABgAIAAAAIQA4/SH/1gAAAJQBAAALAAAAAAAAAAAAAAAAAC8BAABfcmVscy8ucmVsc1BL&#10;AQItABQABgAIAAAAIQBET68QIQIAAB4EAAAOAAAAAAAAAAAAAAAAAC4CAABkcnMvZTJvRG9jLnht&#10;bFBLAQItABQABgAIAAAAIQBSlZPt3wAAAAsBAAAPAAAAAAAAAAAAAAAAAHsEAABkcnMvZG93bnJl&#10;di54bWxQSwUGAAAAAAQABADzAAAAhwUAAAAA&#10;" stroked="f">
              <v:textbox style="mso-fit-shape-to-text:t">
                <w:txbxContent>
                  <w:p w:rsidR="003C4B1B" w:rsidRPr="003C4B1B" w:rsidRDefault="003C4B1B">
                    <w:pPr>
                      <w:rPr>
                        <w:sz w:val="36"/>
                      </w:rPr>
                    </w:pPr>
                    <w:r w:rsidRPr="003C4B1B">
                      <w:rPr>
                        <w:sz w:val="36"/>
                      </w:rPr>
                      <w:t>Handout 1</w:t>
                    </w:r>
                    <w:r w:rsidR="004642E7">
                      <w:rPr>
                        <w:sz w:val="36"/>
                      </w:rPr>
                      <w:t>.1</w:t>
                    </w:r>
                    <w:r w:rsidR="002001EE">
                      <w:rPr>
                        <w:sz w:val="36"/>
                      </w:rPr>
                      <w:t xml:space="preserve"> – the eight principles of data protection</w:t>
                    </w:r>
                  </w:p>
                </w:txbxContent>
              </v:textbox>
            </v:shape>
          </w:pict>
        </mc:Fallback>
      </mc:AlternateContent>
    </w:r>
    <w:r w:rsidR="00E3326A" w:rsidRPr="009F6A5F">
      <w:rPr>
        <w:noProof/>
        <w:lang w:eastAsia="en-GB"/>
      </w:rPr>
      <w:drawing>
        <wp:inline distT="0" distB="0" distL="0" distR="0" wp14:anchorId="11CF4516" wp14:editId="579A19FC">
          <wp:extent cx="1990725" cy="438150"/>
          <wp:effectExtent l="0" t="0" r="0" b="0"/>
          <wp:docPr id="2" name="Picture 2" descr="O:\Marketing\Design.Logos\optimus_main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Design.Logos\optimus_main_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49C"/>
    <w:multiLevelType w:val="hybridMultilevel"/>
    <w:tmpl w:val="518A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B1FAE"/>
    <w:multiLevelType w:val="hybridMultilevel"/>
    <w:tmpl w:val="14A8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80F35"/>
    <w:multiLevelType w:val="hybridMultilevel"/>
    <w:tmpl w:val="1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EF478D"/>
    <w:multiLevelType w:val="hybridMultilevel"/>
    <w:tmpl w:val="469A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B6F7D"/>
    <w:multiLevelType w:val="hybridMultilevel"/>
    <w:tmpl w:val="DB2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153A32"/>
    <w:multiLevelType w:val="hybridMultilevel"/>
    <w:tmpl w:val="972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991245"/>
    <w:multiLevelType w:val="hybridMultilevel"/>
    <w:tmpl w:val="4AE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0A31FB"/>
    <w:multiLevelType w:val="hybridMultilevel"/>
    <w:tmpl w:val="3D6A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6A"/>
    <w:rsid w:val="002001EE"/>
    <w:rsid w:val="00213B84"/>
    <w:rsid w:val="002E721E"/>
    <w:rsid w:val="0032056B"/>
    <w:rsid w:val="00383434"/>
    <w:rsid w:val="003C4B1B"/>
    <w:rsid w:val="00411F2C"/>
    <w:rsid w:val="004642E7"/>
    <w:rsid w:val="00512501"/>
    <w:rsid w:val="00686168"/>
    <w:rsid w:val="0074198C"/>
    <w:rsid w:val="00921681"/>
    <w:rsid w:val="00AC5610"/>
    <w:rsid w:val="00AF0FE3"/>
    <w:rsid w:val="00B25CA7"/>
    <w:rsid w:val="00BD64F7"/>
    <w:rsid w:val="00C717AB"/>
    <w:rsid w:val="00DA4022"/>
    <w:rsid w:val="00E3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22"/>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6A"/>
    <w:pPr>
      <w:tabs>
        <w:tab w:val="center" w:pos="4513"/>
        <w:tab w:val="right" w:pos="9026"/>
      </w:tabs>
    </w:pPr>
  </w:style>
  <w:style w:type="character" w:customStyle="1" w:styleId="HeaderChar">
    <w:name w:val="Header Char"/>
    <w:basedOn w:val="DefaultParagraphFont"/>
    <w:link w:val="Header"/>
    <w:uiPriority w:val="99"/>
    <w:rsid w:val="00E3326A"/>
    <w:rPr>
      <w:rFonts w:ascii="Calibri" w:hAnsi="Calibri" w:cs="Times New Roman"/>
      <w:szCs w:val="24"/>
    </w:rPr>
  </w:style>
  <w:style w:type="paragraph" w:styleId="Footer">
    <w:name w:val="footer"/>
    <w:basedOn w:val="Normal"/>
    <w:link w:val="FooterChar"/>
    <w:uiPriority w:val="99"/>
    <w:unhideWhenUsed/>
    <w:rsid w:val="00E3326A"/>
    <w:pPr>
      <w:tabs>
        <w:tab w:val="center" w:pos="4513"/>
        <w:tab w:val="right" w:pos="9026"/>
      </w:tabs>
    </w:pPr>
  </w:style>
  <w:style w:type="character" w:customStyle="1" w:styleId="FooterChar">
    <w:name w:val="Footer Char"/>
    <w:basedOn w:val="DefaultParagraphFont"/>
    <w:link w:val="Footer"/>
    <w:uiPriority w:val="99"/>
    <w:rsid w:val="00E3326A"/>
    <w:rPr>
      <w:rFonts w:ascii="Calibri" w:hAnsi="Calibri" w:cs="Times New Roman"/>
      <w:szCs w:val="24"/>
    </w:rPr>
  </w:style>
  <w:style w:type="paragraph" w:styleId="BalloonText">
    <w:name w:val="Balloon Text"/>
    <w:basedOn w:val="Normal"/>
    <w:link w:val="BalloonTextChar"/>
    <w:uiPriority w:val="99"/>
    <w:semiHidden/>
    <w:unhideWhenUsed/>
    <w:rsid w:val="00E3326A"/>
    <w:rPr>
      <w:rFonts w:ascii="Tahoma" w:hAnsi="Tahoma" w:cs="Tahoma"/>
      <w:sz w:val="16"/>
      <w:szCs w:val="16"/>
    </w:rPr>
  </w:style>
  <w:style w:type="character" w:customStyle="1" w:styleId="BalloonTextChar">
    <w:name w:val="Balloon Text Char"/>
    <w:basedOn w:val="DefaultParagraphFont"/>
    <w:link w:val="BalloonText"/>
    <w:uiPriority w:val="99"/>
    <w:semiHidden/>
    <w:rsid w:val="00E3326A"/>
    <w:rPr>
      <w:rFonts w:ascii="Tahoma" w:hAnsi="Tahoma" w:cs="Tahoma"/>
      <w:sz w:val="16"/>
      <w:szCs w:val="16"/>
    </w:rPr>
  </w:style>
  <w:style w:type="table" w:styleId="TableGrid">
    <w:name w:val="Table Grid"/>
    <w:basedOn w:val="TableNormal"/>
    <w:uiPriority w:val="59"/>
    <w:rsid w:val="00E3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22"/>
    <w:pPr>
      <w:spacing w:after="0" w:line="240" w:lineRule="auto"/>
    </w:pPr>
    <w:rPr>
      <w:rFonts w:ascii="Calibri"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6A"/>
    <w:pPr>
      <w:tabs>
        <w:tab w:val="center" w:pos="4513"/>
        <w:tab w:val="right" w:pos="9026"/>
      </w:tabs>
    </w:pPr>
  </w:style>
  <w:style w:type="character" w:customStyle="1" w:styleId="HeaderChar">
    <w:name w:val="Header Char"/>
    <w:basedOn w:val="DefaultParagraphFont"/>
    <w:link w:val="Header"/>
    <w:uiPriority w:val="99"/>
    <w:rsid w:val="00E3326A"/>
    <w:rPr>
      <w:rFonts w:ascii="Calibri" w:hAnsi="Calibri" w:cs="Times New Roman"/>
      <w:szCs w:val="24"/>
    </w:rPr>
  </w:style>
  <w:style w:type="paragraph" w:styleId="Footer">
    <w:name w:val="footer"/>
    <w:basedOn w:val="Normal"/>
    <w:link w:val="FooterChar"/>
    <w:uiPriority w:val="99"/>
    <w:unhideWhenUsed/>
    <w:rsid w:val="00E3326A"/>
    <w:pPr>
      <w:tabs>
        <w:tab w:val="center" w:pos="4513"/>
        <w:tab w:val="right" w:pos="9026"/>
      </w:tabs>
    </w:pPr>
  </w:style>
  <w:style w:type="character" w:customStyle="1" w:styleId="FooterChar">
    <w:name w:val="Footer Char"/>
    <w:basedOn w:val="DefaultParagraphFont"/>
    <w:link w:val="Footer"/>
    <w:uiPriority w:val="99"/>
    <w:rsid w:val="00E3326A"/>
    <w:rPr>
      <w:rFonts w:ascii="Calibri" w:hAnsi="Calibri" w:cs="Times New Roman"/>
      <w:szCs w:val="24"/>
    </w:rPr>
  </w:style>
  <w:style w:type="paragraph" w:styleId="BalloonText">
    <w:name w:val="Balloon Text"/>
    <w:basedOn w:val="Normal"/>
    <w:link w:val="BalloonTextChar"/>
    <w:uiPriority w:val="99"/>
    <w:semiHidden/>
    <w:unhideWhenUsed/>
    <w:rsid w:val="00E3326A"/>
    <w:rPr>
      <w:rFonts w:ascii="Tahoma" w:hAnsi="Tahoma" w:cs="Tahoma"/>
      <w:sz w:val="16"/>
      <w:szCs w:val="16"/>
    </w:rPr>
  </w:style>
  <w:style w:type="character" w:customStyle="1" w:styleId="BalloonTextChar">
    <w:name w:val="Balloon Text Char"/>
    <w:basedOn w:val="DefaultParagraphFont"/>
    <w:link w:val="BalloonText"/>
    <w:uiPriority w:val="99"/>
    <w:semiHidden/>
    <w:rsid w:val="00E3326A"/>
    <w:rPr>
      <w:rFonts w:ascii="Tahoma" w:hAnsi="Tahoma" w:cs="Tahoma"/>
      <w:sz w:val="16"/>
      <w:szCs w:val="16"/>
    </w:rPr>
  </w:style>
  <w:style w:type="table" w:styleId="TableGrid">
    <w:name w:val="Table Grid"/>
    <w:basedOn w:val="TableNormal"/>
    <w:uiPriority w:val="59"/>
    <w:rsid w:val="00E3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AA88B2-8524-4A6E-B66D-D7311188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Collins</dc:creator>
  <cp:lastModifiedBy>Caroline Collins</cp:lastModifiedBy>
  <cp:revision>6</cp:revision>
  <dcterms:created xsi:type="dcterms:W3CDTF">2018-01-22T16:06:00Z</dcterms:created>
  <dcterms:modified xsi:type="dcterms:W3CDTF">2018-01-25T10:59:00Z</dcterms:modified>
</cp:coreProperties>
</file>